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wal87srin3p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1pxezwc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recognizes its obligation to keep its employees safe from harm. It further understands that people who supervise or direct the work of others have a legal duty to keep those workers safe from harm.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educate and train all persons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“Person directing work” means any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It not only applies to persons with a title of supervisor or manager, but anyone acting in that capacity, even temporarily.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understands that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reasonable steps to prevent bodily harm to the person whose work they are directing,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Further, 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Occupational Health and Safety Regulations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know about hazards in their work and get information, supervision, and instruction to protect their health and safety on the job.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participate in identifying and solving workplace health and safety problems.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refuse work that they believe is dangerous to their health and safety or that of any other worker in the workplace.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Occupational Health and Safety Regulations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sets out certain specific duties for workplace supervisors. A supervisor must: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workers work in the manner and with the protective devices, measures and procedures required 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any equipment, protective device, or clothing required by the employer is used or worn by the worker 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Advise a worker of any potential or actual health or safety dangers known by the supervisor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comply with their duties under occupational health and safety to: 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in compliance with all regulations 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or wear any equipment, protective devices or clothing required by the employer 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to the employer or supervisor any known missing or defective equipment or protective device that may endanger the worker or another worker 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any hazard or contravention of the regulations to the employer or supervisor 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center" w:leader="none" w:pos="4596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